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8A" w:rsidRDefault="0081438A" w:rsidP="008143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81438A" w:rsidTr="0081438A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438A" w:rsidRDefault="0081438A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1438A" w:rsidRDefault="0081438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1438A" w:rsidRDefault="0081438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81438A" w:rsidTr="0081438A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438A" w:rsidRDefault="0081438A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12.02.2020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1438A" w:rsidRDefault="0081438A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1438A" w:rsidRDefault="0081438A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</w:tbl>
    <w:p w:rsidR="0081438A" w:rsidRDefault="0081438A" w:rsidP="0081438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81438A" w:rsidRDefault="0081438A" w:rsidP="0081438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81438A" w:rsidRDefault="0081438A" w:rsidP="0081438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81438A" w:rsidRDefault="0081438A" w:rsidP="0081438A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81438A" w:rsidRDefault="0081438A" w:rsidP="0081438A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81438A" w:rsidRDefault="0081438A" w:rsidP="00814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1438A" w:rsidRDefault="0081438A" w:rsidP="0081438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Enstitümüz Spor Bilimleri Ana Bilim Dalı yüksek </w:t>
      </w:r>
      <w:proofErr w:type="gramStart"/>
      <w:r>
        <w:rPr>
          <w:rFonts w:ascii="Times New Roman" w:hAnsi="Times New Roman"/>
          <w:b/>
          <w:sz w:val="24"/>
          <w:szCs w:val="24"/>
        </w:rPr>
        <w:t>lisans  öğrencisi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Fatih Çağrı </w:t>
      </w:r>
      <w:proofErr w:type="spellStart"/>
      <w:r>
        <w:rPr>
          <w:rFonts w:ascii="Times New Roman" w:hAnsi="Times New Roman"/>
          <w:b/>
          <w:sz w:val="24"/>
          <w:szCs w:val="24"/>
        </w:rPr>
        <w:t>NAZİK’in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danışman değişikliği ile ilgili Ana Bilim Dalı Başkanlığının 11.02.2020 tarih ve 30674591-050.01.01-E.24570 sayılı yazısı ve eklerinin görüşülmesi.</w:t>
      </w:r>
    </w:p>
    <w:p w:rsidR="0081438A" w:rsidRDefault="0081438A" w:rsidP="0081438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38A" w:rsidRDefault="0081438A" w:rsidP="00814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 yüksek lisans öğrencisi </w:t>
      </w:r>
      <w:r>
        <w:rPr>
          <w:rFonts w:ascii="Times New Roman" w:hAnsi="Times New Roman"/>
          <w:sz w:val="24"/>
          <w:szCs w:val="24"/>
        </w:rPr>
        <w:t xml:space="preserve">Fatih Çağrı </w:t>
      </w:r>
      <w:proofErr w:type="spellStart"/>
      <w:r>
        <w:rPr>
          <w:rFonts w:ascii="Times New Roman" w:hAnsi="Times New Roman"/>
          <w:sz w:val="24"/>
          <w:szCs w:val="24"/>
        </w:rPr>
        <w:t>NAZİK’in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olan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ALP’in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İdari işlerinin yoğunluğu nedeniyle, lisansüstü Eğitim Öğretim Yönergemizin 26. Maddesi 3. Bendi gereğince,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Kenan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IŞILDAK’ın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atanarak danışman değişikliğinin uygunluğuna,</w:t>
      </w:r>
    </w:p>
    <w:p w:rsidR="0081438A" w:rsidRDefault="0081438A" w:rsidP="00814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81438A" w:rsidRDefault="0081438A" w:rsidP="00814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ve Tıbbi Bilişim Ana Bilim Dalı yüksek lisans öğrencisi Merve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VERGİLİ’nin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özel öğrenci statüsünde farklı Enstitülerden aldığı derslerin ders kredisinden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sayılması  ile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ilgili Anabilim Dalı Başkanlığının 07.02.2020 tarih ve 61414086-903.07.01.E-22319 sayılı yazısı ve eklerinin görüşülmesi. </w:t>
      </w:r>
    </w:p>
    <w:p w:rsidR="0081438A" w:rsidRDefault="0081438A" w:rsidP="00814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</w:t>
      </w:r>
    </w:p>
    <w:p w:rsidR="0081438A" w:rsidRDefault="0081438A" w:rsidP="008143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Tıbbi Bilişimi Ana Bilim Dalı yüksek lisans öğrencisi Merve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VERGİLİ’nin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aşağıda belirtilen dönemlerde özel öğrenci olarak almış olduğu derslerin Lisansüstü Eğitim Öğretim Yönergesinin Geçici 1. Maddesinin d Bendi uyarınca; Eski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kayıtlı  lisansüstü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öğrencisi iken aldığı dersin aynı yönergenin 10. Maddesi 3/b Bendi uyarınca,  ders kredisinden  sayılmasının uygunluğuna, </w:t>
      </w:r>
    </w:p>
    <w:p w:rsidR="0081438A" w:rsidRDefault="0081438A" w:rsidP="008143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127"/>
        <w:gridCol w:w="2403"/>
      </w:tblGrid>
      <w:tr w:rsidR="0081438A" w:rsidTr="008143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</w:rPr>
              <w:t>Aldığı Dönem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Alındığı Statü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</w:rPr>
              <w:t>Aldığı Enstitü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</w:rPr>
              <w:t>Muaf Olması Uygun Olan Ders</w:t>
            </w:r>
          </w:p>
        </w:tc>
      </w:tr>
      <w:tr w:rsidR="0081438A" w:rsidTr="008143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 Güz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Biyoinformatiğe</w:t>
            </w:r>
            <w:proofErr w:type="spellEnd"/>
            <w:r>
              <w:rPr>
                <w:rFonts w:ascii="Times New Roman" w:hAnsi="Times New Roman"/>
              </w:rPr>
              <w:t xml:space="preserve"> Giriş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Özel Öğrenci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Hacettepe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Ünv.SBE</w:t>
            </w:r>
            <w:proofErr w:type="spellEnd"/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03BTB5111 </w:t>
            </w:r>
            <w:proofErr w:type="spellStart"/>
            <w:r>
              <w:rPr>
                <w:rFonts w:ascii="Times New Roman" w:hAnsi="Times New Roman"/>
              </w:rPr>
              <w:t>Biyoinformatiğe</w:t>
            </w:r>
            <w:proofErr w:type="spellEnd"/>
            <w:r>
              <w:rPr>
                <w:rFonts w:ascii="Times New Roman" w:hAnsi="Times New Roman"/>
              </w:rPr>
              <w:t xml:space="preserve"> Giriş</w:t>
            </w:r>
          </w:p>
        </w:tc>
      </w:tr>
      <w:tr w:rsidR="0081438A" w:rsidTr="008143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 Bahar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Veri </w:t>
            </w:r>
            <w:proofErr w:type="spellStart"/>
            <w:r>
              <w:rPr>
                <w:rFonts w:ascii="Times New Roman" w:hAnsi="Times New Roman"/>
              </w:rPr>
              <w:t>Madencilği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Özel Öğrenci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Hacettepe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Ünv.FBE</w:t>
            </w:r>
            <w:proofErr w:type="spellEnd"/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03BTB5113 Veri </w:t>
            </w:r>
            <w:proofErr w:type="spellStart"/>
            <w:r>
              <w:rPr>
                <w:rFonts w:ascii="Times New Roman" w:hAnsi="Times New Roman"/>
              </w:rPr>
              <w:t>Madencilği</w:t>
            </w:r>
            <w:proofErr w:type="spellEnd"/>
          </w:p>
        </w:tc>
      </w:tr>
      <w:tr w:rsidR="0081438A" w:rsidTr="008143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 Bahar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Çok değişkenli istatistiksel çözümler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Özel Öğrenci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Hacettepe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Ünv.FBE</w:t>
            </w:r>
            <w:proofErr w:type="spellEnd"/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03BTB5107 Uygulamalı çok değişkenli istatistiksel yöntemler I</w:t>
            </w:r>
          </w:p>
        </w:tc>
      </w:tr>
      <w:tr w:rsidR="0081438A" w:rsidTr="008143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 Güz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İstatistiki deney tasarını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Eski Kayıtlı Öğrenci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Ankara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Üv.FBE</w:t>
            </w:r>
            <w:proofErr w:type="spellEnd"/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A" w:rsidRDefault="00814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03BTB5106 Deney Planlaması</w:t>
            </w:r>
          </w:p>
        </w:tc>
      </w:tr>
    </w:tbl>
    <w:p w:rsidR="0081438A" w:rsidRDefault="0081438A" w:rsidP="00814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38A" w:rsidRDefault="0081438A" w:rsidP="00814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03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Fizyoloji, Histoloji ve Embriyoloji ve Ortodonti Ana Bilim Dallarında kayıtlı doktora öğrencilerinin azami sürelerine istinaden kayıt durumlarının görüşülmesi. </w:t>
      </w:r>
    </w:p>
    <w:p w:rsidR="0081438A" w:rsidRDefault="0081438A" w:rsidP="00814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38A" w:rsidRDefault="0081438A" w:rsidP="008143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Yapılan görüşmeler sonucunda; Yüksek Öğretim Kurulu'nun (YÖK) 13/06/2016 tarih ve 75850160-104.01.03.01-35253 sayılı yazısında belirtildiği üzere "YÖK Lisansüstü Eğitim ve Öğretim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Yönetmeliği"nin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yayınlanma tarihi olan 20 Nisan 2016 temel alınarak, 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Fizyoloji, Histoloji ve Embriyoloji, Ortodonti Ana Bilim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Dallarında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kayıtlı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Doktora öğrencilerinin azami eğitim sürelerini aşmaları nedeniyle,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ek’te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belirtilen tabloda isimleri karşılığındaki gerekçe ile ve Üniversitemiz Lisansüstü Eğitim ve Öğretim Yönetmeliğinin bununla ilgili 34. Maddesi 2. Bendi  uyarınca enstitümüz ile ilişiklerinin kesilmesinin uygunluğuna,</w:t>
      </w:r>
    </w:p>
    <w:p w:rsidR="0081438A" w:rsidRDefault="0081438A" w:rsidP="0081438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81438A" w:rsidRDefault="0081438A" w:rsidP="0081438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438A" w:rsidRDefault="0081438A" w:rsidP="0081438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12.02.2020 TARİH VE 07 SAYILI YÖNETİM KURULUNUN 2’NCİ SAYFASIDIR</w:t>
      </w:r>
    </w:p>
    <w:p w:rsidR="0081438A" w:rsidRDefault="0081438A" w:rsidP="00814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38A" w:rsidRDefault="0081438A" w:rsidP="00814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04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tr-TR"/>
        </w:rPr>
        <w:t>Enstitümüz Halk Sağlığı ve Spor Bilimleri Ana Bilim Dallarında kayıtlı yüksek lisans öğrencilerinin azami sürelerine istinaden kayıt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durumlarının görüşülmesi.</w:t>
      </w:r>
    </w:p>
    <w:p w:rsidR="0081438A" w:rsidRDefault="0081438A" w:rsidP="00814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38A" w:rsidRDefault="0081438A" w:rsidP="008143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Yapılan görüşmeler sonucunda; Yüksek Öğretim Kurulu'nun (YÖK) 13/06/2016 tarih ve 75850160-104.01.03.01-35253 sayılı yazısında belirtildiği üzere "YÖK Lisansüstü Eğitim ve Öğretim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Yönetmeliği"nin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yayınlanma tarihi olan 20 Nisan 2016 temel alınarak, Enstitümüz Halk Sağlığı ve Spor Bilimleri </w:t>
      </w:r>
      <w:r>
        <w:rPr>
          <w:rFonts w:ascii="Times New Roman" w:hAnsi="Times New Roman"/>
          <w:sz w:val="24"/>
          <w:szCs w:val="24"/>
          <w:lang w:eastAsia="tr-TR"/>
        </w:rPr>
        <w:t xml:space="preserve">Ana Bilim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Dallarında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kayıtlı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yüksek lisans öğrencilerinin azami eğitim sürelerini aşmaları nedeniyle,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ek’te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belirtilen tabloda isimleri karşılığındaki gerekçe ile ve Üniversitemiz Lisansüstü Eğitim ve Öğretim Yönetmeliğinin bununla ilgili 29. Maddesi 3. Bendi  uyarınca enstitümüz ile ilişiklerinin kesilmesinin uygunluğuna,</w:t>
      </w:r>
    </w:p>
    <w:p w:rsidR="0081438A" w:rsidRDefault="0081438A" w:rsidP="0081438A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81438A" w:rsidRDefault="0081438A" w:rsidP="0081438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Enstitümüz Ortodonti Ana Bilim Dalı doktora öğrencisi Elif </w:t>
      </w:r>
      <w:proofErr w:type="spellStart"/>
      <w:r>
        <w:rPr>
          <w:rFonts w:ascii="Times New Roman" w:hAnsi="Times New Roman"/>
          <w:b/>
          <w:sz w:val="24"/>
          <w:szCs w:val="24"/>
        </w:rPr>
        <w:t>ALBAYRAK’ın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tez konusunun belirlenmesi ile ilgili Ana Bilim Dalı Başkanlığının 11.02.2020 tarih ve 75526002.302.14.01-E.24316 sayılı yazısı ve eklerinin görüşülmesi.</w:t>
      </w:r>
    </w:p>
    <w:p w:rsidR="0081438A" w:rsidRDefault="0081438A" w:rsidP="00814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38A" w:rsidRDefault="0081438A" w:rsidP="008143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 xml:space="preserve">Ortodonti Ana Bilim Dalı doktora öğrencisi Elif </w:t>
      </w:r>
      <w:proofErr w:type="spellStart"/>
      <w:r>
        <w:rPr>
          <w:rFonts w:ascii="Times New Roman" w:hAnsi="Times New Roman"/>
          <w:sz w:val="24"/>
          <w:szCs w:val="24"/>
        </w:rPr>
        <w:t>ALBAYRAK’ın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Neslihan Ebru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ŞENIŞIK’ın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Maksiller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Transversal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Darlığın Tedavisinde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Stabilitenin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Değerlendirilmesi” başlıklı Tez Konusunun Lisansüstü Eğitim Öğretim Yönergesinin 42. Maddesi uyarınca kabulüne,</w:t>
      </w:r>
    </w:p>
    <w:p w:rsidR="0081438A" w:rsidRDefault="0081438A" w:rsidP="0081438A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81438A" w:rsidRDefault="0081438A" w:rsidP="0081438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Enstitümüz Tıbbi Farmakoloji Ana Bilim Dalı yüksek lisans öğrencisi Nursel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HASSEYİD’in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tez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konusunun belirlenmesi ile ilgili Ana Bilim Dalı Başkanlığının 12.02.2020 tarih ve 83374470.302.14.03-E.25601 sayılı yazısı ve eklerinin görüşülmesi.</w:t>
      </w:r>
    </w:p>
    <w:p w:rsidR="0081438A" w:rsidRDefault="0081438A" w:rsidP="0081438A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Tıbbi Farmakoloji </w:t>
      </w:r>
      <w:r>
        <w:rPr>
          <w:rFonts w:ascii="Times New Roman" w:hAnsi="Times New Roman"/>
          <w:sz w:val="24"/>
          <w:szCs w:val="24"/>
        </w:rPr>
        <w:t xml:space="preserve">Ana Bilim Dalı yüksek lisans öğrencisi Nursel </w:t>
      </w:r>
      <w:proofErr w:type="spellStart"/>
      <w:r>
        <w:rPr>
          <w:rFonts w:ascii="Times New Roman" w:hAnsi="Times New Roman"/>
          <w:sz w:val="24"/>
          <w:szCs w:val="24"/>
        </w:rPr>
        <w:t>HASSEYİD’in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Halil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AŞCI’nın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“Yüksek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Frukozlu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Beslenmeye Bağlı Potansiyel Beyin Hasarı ve Selenyumun Etkisi” başlıklı Tez Konusunun Lisansüstü Eğitim Öğretim Yönergesinin 29. Maddesi uyarınca kabulüne,</w:t>
      </w:r>
    </w:p>
    <w:p w:rsidR="0081438A" w:rsidRDefault="0081438A" w:rsidP="0081438A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sz w:val="24"/>
          <w:szCs w:val="24"/>
        </w:rPr>
        <w:t>Oy birliği ile karar verildi,</w:t>
      </w:r>
    </w:p>
    <w:p w:rsidR="0081438A" w:rsidRDefault="0081438A" w:rsidP="0081438A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81438A" w:rsidRDefault="0081438A" w:rsidP="0081438A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81438A" w:rsidRDefault="0081438A" w:rsidP="0081438A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81438A" w:rsidRDefault="0081438A" w:rsidP="0081438A">
      <w:pPr>
        <w:spacing w:after="0" w:line="240" w:lineRule="auto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</w:t>
      </w:r>
    </w:p>
    <w:p w:rsidR="0081438A" w:rsidRDefault="0081438A" w:rsidP="0081438A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81438A" w:rsidRDefault="0081438A" w:rsidP="0081438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 xml:space="preserve">        </w:t>
      </w:r>
    </w:p>
    <w:p w:rsidR="0081438A" w:rsidRDefault="0081438A" w:rsidP="0081438A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</w:t>
      </w:r>
    </w:p>
    <w:p w:rsidR="0081438A" w:rsidRDefault="0081438A" w:rsidP="0081438A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81438A" w:rsidRDefault="0081438A" w:rsidP="0081438A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Raportör</w:t>
      </w:r>
    </w:p>
    <w:p w:rsidR="0081438A" w:rsidRDefault="0081438A" w:rsidP="0081438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81438A" w:rsidRDefault="0081438A" w:rsidP="0081438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81438A" w:rsidRDefault="0081438A" w:rsidP="0081438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12.02.2020</w:t>
      </w:r>
    </w:p>
    <w:p w:rsidR="006607EE" w:rsidRDefault="006607EE"/>
    <w:sectPr w:rsidR="006607EE" w:rsidSect="008143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FF"/>
    <w:rsid w:val="006249FF"/>
    <w:rsid w:val="006607EE"/>
    <w:rsid w:val="0081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505C-A79A-4D05-82F5-285FA2F7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2020-09-18T12:16:00Z</dcterms:created>
  <dcterms:modified xsi:type="dcterms:W3CDTF">2020-09-18T12:17:00Z</dcterms:modified>
</cp:coreProperties>
</file>